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Анализ практики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осуществления отделом государственного контроля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Управления Росгвардии по Пермскому краю федерального государственного контроля (надзора)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 xml:space="preserve">в установленных сферах </w:t>
      </w:r>
    </w:p>
    <w:p>
      <w:pPr>
        <w:pStyle w:val="Normal"/>
        <w:shd w:val="clear" w:color="auto" w:fill="FFFFFF"/>
        <w:jc w:val="center"/>
        <w:rPr>
          <w:sz w:val="28"/>
          <w:szCs w:val="28"/>
        </w:rPr>
      </w:pPr>
      <w:r>
        <w:rPr>
          <w:b/>
          <w:bCs/>
          <w:iCs/>
          <w:color w:val="000000"/>
          <w:spacing w:val="-7"/>
          <w:sz w:val="28"/>
          <w:szCs w:val="28"/>
        </w:rPr>
        <w:t>за 2023 год.</w:t>
      </w:r>
    </w:p>
    <w:p>
      <w:pPr>
        <w:pStyle w:val="Normal"/>
        <w:shd w:val="clear" w:color="auto" w:fill="FFFFFF"/>
        <w:jc w:val="center"/>
        <w:rPr>
          <w:b/>
          <w:b/>
          <w:bCs/>
          <w:iCs/>
          <w:color w:val="000000"/>
          <w:spacing w:val="-7"/>
        </w:rPr>
      </w:pPr>
      <w:r>
        <w:rPr>
          <w:b/>
          <w:bCs/>
          <w:iCs/>
          <w:color w:val="000000"/>
          <w:spacing w:val="-7"/>
        </w:rPr>
      </w:r>
    </w:p>
    <w:p>
      <w:pPr>
        <w:pStyle w:val="Normal"/>
        <w:shd w:val="clear" w:color="auto" w:fill="FFFFFF"/>
        <w:ind w:firstLine="708"/>
        <w:jc w:val="both"/>
        <w:rPr>
          <w:b/>
          <w:b/>
          <w:bCs/>
        </w:rPr>
      </w:pPr>
      <w:r>
        <w:rPr>
          <w:b/>
          <w:bCs/>
          <w:iCs/>
          <w:color w:val="000000"/>
          <w:spacing w:val="-7"/>
          <w:sz w:val="28"/>
          <w:szCs w:val="28"/>
        </w:rPr>
        <w:t>1.</w:t>
        <w:tab/>
        <w:t>Контроль (надзор) за обеспечением безопасности объектов топливно-энергетического комплекса.</w:t>
      </w:r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 период 2023 года проведено 17 плановых проверок объектов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комплекса</w:t>
      </w:r>
      <w:r>
        <w:rPr>
          <w:sz w:val="28"/>
          <w:szCs w:val="28"/>
        </w:rPr>
        <w:t xml:space="preserve"> (План проведения Управлением Росгвардии по Пермскому краю плановых проверок объектов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комплекса выполнен на 100%</w:t>
      </w:r>
      <w:r>
        <w:rPr>
          <w:sz w:val="28"/>
          <w:szCs w:val="28"/>
        </w:rPr>
        <w:t xml:space="preserve">). 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В ходе проведения проверок на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11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объектах выявлено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117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нарушений обязательных требований обеспечения безопасности и антитеррористической защищенности, установленных законодательством Российской Федерации. По итогам проверок руководителям субъектов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комплекса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выданы предписания, юридические лица привлечены к административной ответственности по ст. 20.30 КоАП РФ.</w:t>
      </w:r>
    </w:p>
    <w:p>
      <w:pPr>
        <w:pStyle w:val="Normal"/>
        <w:ind w:firstLine="709"/>
        <w:jc w:val="both"/>
        <w:rPr>
          <w:sz w:val="28"/>
          <w:szCs w:val="28"/>
        </w:rPr>
      </w:pPr>
      <w:bookmarkStart w:id="0" w:name="__DdeLink__336_774325050"/>
      <w:r>
        <w:rPr>
          <w:bCs/>
          <w:sz w:val="28"/>
          <w:szCs w:val="28"/>
        </w:rPr>
        <w:t xml:space="preserve">В ходе контроля исполнения ранее выданных предписаний об устранении выявленных нарушений проведено </w:t>
      </w:r>
      <w:r>
        <w:rPr>
          <w:rFonts w:eastAsia="Times New Roman" w:cs="Times New Roman"/>
          <w:bCs/>
          <w:sz w:val="28"/>
          <w:szCs w:val="28"/>
          <w:lang w:eastAsia="ru-RU"/>
        </w:rPr>
        <w:t>6</w:t>
      </w:r>
      <w:r>
        <w:rPr>
          <w:bCs/>
          <w:sz w:val="28"/>
          <w:szCs w:val="28"/>
        </w:rPr>
        <w:t xml:space="preserve"> внеплановых провер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ок</w:t>
      </w:r>
      <w:r>
        <w:rPr>
          <w:bCs/>
          <w:sz w:val="28"/>
          <w:szCs w:val="28"/>
        </w:rPr>
        <w:t xml:space="preserve"> объектов </w:t>
      </w:r>
      <w:r>
        <w:rPr>
          <w:iCs/>
          <w:color w:val="000000"/>
          <w:spacing w:val="-7"/>
          <w:sz w:val="28"/>
          <w:szCs w:val="28"/>
        </w:rPr>
        <w:t>топливно-энергетического комплекса</w:t>
      </w:r>
      <w:r>
        <w:rPr>
          <w:bCs/>
          <w:sz w:val="28"/>
          <w:szCs w:val="28"/>
        </w:rPr>
        <w:t>, по результатам которых установлено, что 3 предписания не исполнены, в связи с чем юридические и должностные лица объектов ТЭК привлечены к административной ответственности по ст. 19.5 КоАП РФ.</w:t>
      </w:r>
      <w:bookmarkEnd w:id="0"/>
    </w:p>
    <w:p>
      <w:pPr>
        <w:pStyle w:val="Normal"/>
        <w:tabs>
          <w:tab w:val="clear" w:pos="708"/>
          <w:tab w:val="left" w:pos="1418" w:leader="none"/>
        </w:tabs>
        <w:ind w:firstLine="709"/>
        <w:jc w:val="both"/>
        <w:rPr/>
      </w:pPr>
      <w:r>
        <w:rPr>
          <w:bCs/>
          <w:sz w:val="28"/>
          <w:szCs w:val="28"/>
        </w:rPr>
        <w:t>Нарушения выявленные в ходе проверок относятся к: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/>
      </w:pPr>
      <w:r>
        <w:rPr>
          <w:bCs/>
          <w:color w:val="000000"/>
          <w:sz w:val="28"/>
          <w:szCs w:val="28"/>
        </w:rPr>
        <w:t>-</w:t>
        <w:tab/>
        <w:t>инженерно-техническим средствам охраны;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/>
      </w:pPr>
      <w:r>
        <w:rPr>
          <w:bCs/>
          <w:color w:val="000000"/>
          <w:sz w:val="28"/>
          <w:szCs w:val="28"/>
        </w:rPr>
        <w:t>-</w:t>
        <w:tab/>
        <w:t>системе охранной сигнализации;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/>
      </w:pPr>
      <w:r>
        <w:rPr>
          <w:bCs/>
          <w:color w:val="000000"/>
          <w:sz w:val="28"/>
          <w:szCs w:val="28"/>
        </w:rPr>
        <w:t>-</w:t>
        <w:tab/>
        <w:t>системе охранного освещения;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/>
      </w:pPr>
      <w:r>
        <w:rPr>
          <w:bCs/>
          <w:color w:val="000000"/>
          <w:sz w:val="28"/>
          <w:szCs w:val="28"/>
        </w:rPr>
        <w:t>-</w:t>
        <w:tab/>
        <w:t>системе охранной телевизионной;</w:t>
      </w:r>
    </w:p>
    <w:p>
      <w:pPr>
        <w:pStyle w:val="Style23"/>
        <w:widowControl w:val="false"/>
        <w:shd w:val="clear" w:color="auto" w:fill="FFFFFF"/>
        <w:spacing w:lineRule="auto" w:line="240" w:before="0" w:after="0"/>
        <w:jc w:val="both"/>
        <w:rPr/>
      </w:pPr>
      <w:r>
        <w:rPr>
          <w:bCs/>
          <w:color w:val="000000"/>
          <w:sz w:val="28"/>
          <w:szCs w:val="28"/>
        </w:rPr>
        <w:t>-</w:t>
        <w:tab/>
        <w:t>системе оповещения.</w:t>
      </w:r>
    </w:p>
    <w:p>
      <w:pPr>
        <w:pStyle w:val="Normal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</w:r>
    </w:p>
    <w:p>
      <w:pPr>
        <w:pStyle w:val="Normal"/>
        <w:tabs>
          <w:tab w:val="clear" w:pos="708"/>
          <w:tab w:val="left" w:pos="739" w:leader="none"/>
        </w:tabs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ab/>
        <w:t>2.</w:t>
        <w:tab/>
        <w:t xml:space="preserve">Контроль за деятельностью </w:t>
      </w:r>
      <w:r>
        <w:rPr>
          <w:b/>
          <w:bCs/>
          <w:iCs/>
          <w:color w:val="000000"/>
          <w:spacing w:val="-7"/>
          <w:sz w:val="28"/>
          <w:szCs w:val="28"/>
        </w:rPr>
        <w:t xml:space="preserve">подразделений охраны </w:t>
      </w:r>
      <w:bookmarkStart w:id="1" w:name="__DdeLink__75_934537818"/>
      <w:r>
        <w:rPr>
          <w:b/>
          <w:bCs/>
          <w:iCs/>
          <w:color w:val="000000"/>
          <w:spacing w:val="-7"/>
          <w:sz w:val="28"/>
          <w:szCs w:val="28"/>
        </w:rPr>
        <w:t>юридических лиц с особыми уставными задачами и подразделений ведомственной охраны.</w:t>
      </w:r>
      <w:bookmarkEnd w:id="1"/>
    </w:p>
    <w:p>
      <w:pPr>
        <w:pStyle w:val="Normal"/>
        <w:ind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За период</w:t>
      </w:r>
      <w:r>
        <w:rPr>
          <w:sz w:val="28"/>
          <w:szCs w:val="28"/>
        </w:rPr>
        <w:t xml:space="preserve"> 2023 года проведено 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sz w:val="28"/>
          <w:szCs w:val="28"/>
        </w:rPr>
        <w:t xml:space="preserve"> плановых провер</w:t>
      </w:r>
      <w:r>
        <w:rPr>
          <w:rFonts w:eastAsia="Times New Roman" w:cs="Times New Roman"/>
          <w:color w:val="auto"/>
          <w:kern w:val="0"/>
          <w:sz w:val="28"/>
          <w:szCs w:val="28"/>
          <w:lang w:val="ru-RU" w:eastAsia="ru-RU" w:bidi="ar-SA"/>
        </w:rPr>
        <w:t>ок</w:t>
      </w:r>
      <w:r>
        <w:rPr>
          <w:sz w:val="28"/>
          <w:szCs w:val="28"/>
        </w:rPr>
        <w:t xml:space="preserve"> подразделений охраны </w:t>
      </w:r>
      <w:r>
        <w:rPr>
          <w:iCs/>
          <w:color w:val="000000"/>
          <w:spacing w:val="-7"/>
          <w:sz w:val="28"/>
          <w:szCs w:val="28"/>
        </w:rPr>
        <w:t xml:space="preserve">юридических лиц с особыми уставными задачами и подразделений ведомственной охраны </w:t>
      </w:r>
      <w:r>
        <w:rPr>
          <w:sz w:val="28"/>
          <w:szCs w:val="28"/>
        </w:rPr>
        <w:t xml:space="preserve">(План проверок подразделений охраны юридических лиц с особыми уставными задачами и подразделений ведомственной охраны на 2023 год выполнен на 100%). 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В ходе проверок выявлено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21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нарушен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ие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обязательных требований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</w:rPr>
        <w:t xml:space="preserve">, установленных законодательством Российской Федерации. 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По итогам проверок руководителям 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</w:rPr>
        <w:t>подразделени</w:t>
      </w:r>
      <w:r>
        <w:rPr>
          <w:rStyle w:val="Style17"/>
          <w:rFonts w:eastAsia="Calibri" w:cs="Times New Roman"/>
          <w:bCs/>
          <w:i w:val="false"/>
          <w:iCs w:val="false"/>
          <w:color w:val="000000"/>
          <w:kern w:val="0"/>
          <w:sz w:val="28"/>
          <w:szCs w:val="28"/>
          <w:lang w:val="ru-RU" w:eastAsia="ru-RU" w:bidi="ar-SA"/>
        </w:rPr>
        <w:t>й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</w:rPr>
        <w:t xml:space="preserve"> охраны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выдано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предписаний, 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2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должностн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ых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 xml:space="preserve"> лиц</w:t>
      </w:r>
      <w:r>
        <w:rPr>
          <w:rStyle w:val="Style17"/>
          <w:rFonts w:eastAsia="Calibri" w:cs="Times New Roman"/>
          <w:bCs/>
          <w:i w:val="false"/>
          <w:iCs w:val="false"/>
          <w:color w:val="auto"/>
          <w:kern w:val="0"/>
          <w:sz w:val="28"/>
          <w:szCs w:val="28"/>
          <w:lang w:val="ru-RU" w:eastAsia="ru-RU" w:bidi="ar-SA"/>
        </w:rPr>
        <w:t>а</w:t>
      </w:r>
      <w:r>
        <w:rPr>
          <w:rStyle w:val="Style17"/>
          <w:rFonts w:eastAsia="Calibri"/>
          <w:bCs/>
          <w:i w:val="false"/>
          <w:iCs w:val="false"/>
          <w:color w:val="000000"/>
          <w:sz w:val="28"/>
          <w:szCs w:val="28"/>
        </w:rPr>
        <w:t xml:space="preserve"> привлечено к административной ответственности по  ст. 20.8 КоАП РФ</w:t>
      </w:r>
      <w:r>
        <w:rPr>
          <w:rStyle w:val="Style17"/>
          <w:rFonts w:eastAsia="Calibri"/>
          <w:bCs/>
          <w:i w:val="false"/>
          <w:iCs w:val="false"/>
          <w:sz w:val="28"/>
          <w:szCs w:val="28"/>
        </w:rPr>
        <w:t>.</w:t>
      </w:r>
    </w:p>
    <w:p>
      <w:pPr>
        <w:pStyle w:val="Normal"/>
        <w:tabs>
          <w:tab w:val="clear" w:pos="708"/>
          <w:tab w:val="left" w:pos="1418" w:leader="none"/>
        </w:tabs>
        <w:ind w:firstLine="709"/>
        <w:jc w:val="both"/>
        <w:rPr>
          <w:sz w:val="28"/>
          <w:szCs w:val="28"/>
        </w:rPr>
      </w:pPr>
      <w:bookmarkStart w:id="2" w:name="__DdeLink__336_7743250501"/>
      <w:r>
        <w:rPr>
          <w:bCs/>
          <w:sz w:val="28"/>
          <w:szCs w:val="28"/>
        </w:rPr>
        <w:t xml:space="preserve">В ходе контроля исполнения ранее выданных предписаний проведено 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5</w:t>
      </w:r>
      <w:r>
        <w:rPr>
          <w:bCs/>
          <w:sz w:val="28"/>
          <w:szCs w:val="28"/>
        </w:rPr>
        <w:t xml:space="preserve"> внеплановы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х</w:t>
      </w:r>
      <w:r>
        <w:rPr>
          <w:bCs/>
          <w:sz w:val="28"/>
          <w:szCs w:val="28"/>
        </w:rPr>
        <w:t xml:space="preserve"> провер</w:t>
      </w:r>
      <w:r>
        <w:rPr>
          <w:rFonts w:eastAsia="Times New Roman" w:cs="Times New Roman"/>
          <w:bCs/>
          <w:color w:val="auto"/>
          <w:kern w:val="0"/>
          <w:sz w:val="28"/>
          <w:szCs w:val="28"/>
          <w:lang w:val="ru-RU" w:eastAsia="ru-RU" w:bidi="ar-SA"/>
        </w:rPr>
        <w:t>ок</w:t>
      </w:r>
      <w:r>
        <w:rPr>
          <w:bCs/>
          <w:sz w:val="28"/>
          <w:szCs w:val="28"/>
        </w:rPr>
        <w:t>, в ходе которых нарушений не выявлено.</w:t>
      </w:r>
      <w:bookmarkEnd w:id="2"/>
    </w:p>
    <w:p>
      <w:pPr>
        <w:pStyle w:val="Normal"/>
        <w:tabs>
          <w:tab w:val="clear" w:pos="708"/>
          <w:tab w:val="left" w:pos="1418" w:leader="none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Нарушения, выявленные в ходе проверок: </w:t>
      </w:r>
    </w:p>
    <w:p>
      <w:pPr>
        <w:pStyle w:val="Normal"/>
        <w:tabs>
          <w:tab w:val="clear" w:pos="708"/>
          <w:tab w:val="left" w:pos="739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не прохождение работниками </w:t>
      </w:r>
      <w:r>
        <w:rPr>
          <w:color w:val="000000"/>
          <w:sz w:val="28"/>
          <w:szCs w:val="28"/>
        </w:rPr>
        <w:t>подразделения охраны</w:t>
      </w:r>
      <w:r>
        <w:rPr>
          <w:sz w:val="28"/>
          <w:szCs w:val="28"/>
        </w:rPr>
        <w:t xml:space="preserve"> в установленный срок плановых периодических проверок на пригодность к действиям в условиях, связанных с применением огнестрельного оружия и специальных средств;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не прохождение работниками подразделения охраны</w:t>
      </w:r>
      <w:r>
        <w:rPr>
          <w:sz w:val="28"/>
          <w:szCs w:val="28"/>
        </w:rPr>
        <w:t xml:space="preserve"> ежегодных химико-токсикологических исследований наличия в организме человека наркотических средств, психотропных веществ и их метаболитов;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  <w:lang w:eastAsia="zh-CN"/>
        </w:rPr>
        <w:t>не организован учет выдачи направлений для прохождения работниками Подразделения охраны медицинского осмотра;</w:t>
      </w:r>
      <w:r>
        <w:rPr>
          <w:sz w:val="28"/>
          <w:szCs w:val="28"/>
        </w:rPr>
        <w:t xml:space="preserve">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>
        <w:rPr>
          <w:color w:val="000000"/>
          <w:sz w:val="28"/>
          <w:szCs w:val="28"/>
        </w:rPr>
        <w:t>работники подразделения охраны, исполняющие обязанности, связанные с учетом, хранением, ношением и использованием оружия, не проходят обязательную государственную дактилоскопическую регистрацию;</w:t>
      </w:r>
    </w:p>
    <w:p>
      <w:pPr>
        <w:pStyle w:val="ConsPlusNonformat"/>
        <w:widowControl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 нарушение норм обеспечения боевым ручным стрелковым, служебным, гражданским оружием, патронами и боеприпасами к нему, специальными средствами работников охраны военизированных и сторожевых подразделений;</w:t>
      </w:r>
    </w:p>
    <w:p>
      <w:pPr>
        <w:pStyle w:val="ConsPlusNonformat"/>
        <w:widowControl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 w:ascii="Times New Roman" w:hAnsi="Times New Roman"/>
          <w:color w:val="000000"/>
          <w:sz w:val="28"/>
          <w:szCs w:val="28"/>
        </w:rPr>
        <w:t>- не проведение учебных стрельб с работниками подразделений охраны.</w:t>
      </w:r>
    </w:p>
    <w:p>
      <w:pPr>
        <w:pStyle w:val="ConsPlusNonformat"/>
        <w:widowControl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ConsPlusNonformat"/>
        <w:widowControl/>
        <w:jc w:val="both"/>
        <w:rPr>
          <w:rFonts w:cs="Times New Roman"/>
          <w:color w:val="000000"/>
        </w:rPr>
      </w:pPr>
      <w:r>
        <w:rPr>
          <w:rFonts w:cs="Times New Roman"/>
          <w:color w:val="000000"/>
        </w:rPr>
      </w:r>
    </w:p>
    <w:p>
      <w:pPr>
        <w:pStyle w:val="Normal"/>
        <w:tabs>
          <w:tab w:val="clear" w:pos="708"/>
          <w:tab w:val="left" w:pos="1250" w:leader="none"/>
        </w:tabs>
        <w:ind w:firstLine="794"/>
        <w:jc w:val="both"/>
        <w:rPr>
          <w:sz w:val="28"/>
          <w:szCs w:val="28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Arial">
    <w:charset w:val="01"/>
    <w:family w:val="roman"/>
    <w:pitch w:val="default"/>
  </w:font>
  <w:font w:name="Courier New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0</w:t>
    </w:r>
    <w:r>
      <w:rPr/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10"/>
  <w:defaultTabStop w:val="708"/>
  <w:autoHyphenation w:val="true"/>
  <w:compat>
    <w:compatSetting w:name="compatibilityMode" w:uri="http://schemas.microsoft.com/office/word" w:val="12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941f23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rsid w:val="00941f2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5" w:customStyle="1">
    <w:name w:val="Без интервала Знак"/>
    <w:uiPriority w:val="1"/>
    <w:qFormat/>
    <w:locked/>
    <w:rsid w:val="00941f23"/>
    <w:rPr>
      <w:rFonts w:ascii="Calibri" w:hAnsi="Calibri" w:eastAsia="Times New Roman" w:cs="Times New Roman"/>
      <w:szCs w:val="20"/>
    </w:rPr>
  </w:style>
  <w:style w:type="character" w:styleId="Style16" w:customStyle="1">
    <w:name w:val="Текст выноски Знак"/>
    <w:basedOn w:val="DefaultParagraphFont"/>
    <w:uiPriority w:val="99"/>
    <w:semiHidden/>
    <w:qFormat/>
    <w:rsid w:val="006a35a3"/>
    <w:rPr>
      <w:rFonts w:ascii="Tahoma" w:hAnsi="Tahoma" w:eastAsia="Times New Roman" w:cs="Tahoma"/>
      <w:sz w:val="16"/>
      <w:szCs w:val="16"/>
      <w:lang w:eastAsia="ru-RU"/>
    </w:rPr>
  </w:style>
  <w:style w:type="character" w:styleId="Style17">
    <w:name w:val="Выделение"/>
    <w:basedOn w:val="DefaultParagraphFont"/>
    <w:qFormat/>
    <w:rsid w:val="00420ab3"/>
    <w:rPr>
      <w:i/>
      <w:iCs/>
    </w:rPr>
  </w:style>
  <w:style w:type="character" w:styleId="Style18" w:customStyle="1">
    <w:name w:val="Символ сноски"/>
    <w:qFormat/>
    <w:rPr>
      <w:vertAlign w:val="superscript"/>
    </w:rPr>
  </w:style>
  <w:style w:type="character" w:styleId="Style19" w:customStyle="1">
    <w:name w:val="Привязка сноски"/>
    <w:rPr>
      <w:vertAlign w:val="superscript"/>
    </w:rPr>
  </w:style>
  <w:style w:type="character" w:styleId="Style20" w:customStyle="1">
    <w:name w:val="Основной текст Знак"/>
    <w:qFormat/>
    <w:rPr>
      <w:spacing w:val="4"/>
      <w:sz w:val="23"/>
      <w:szCs w:val="23"/>
      <w:lang w:bidi="ar-SA"/>
    </w:rPr>
  </w:style>
  <w:style w:type="character" w:styleId="Style21" w:customStyle="1">
    <w:name w:val="Цветовое выделение"/>
    <w:qFormat/>
    <w:rPr>
      <w:b/>
      <w:bCs w:val="false"/>
      <w:color w:val="26282F"/>
    </w:rPr>
  </w:style>
  <w:style w:type="paragraph" w:styleId="Style22" w:customStyle="1">
    <w:name w:val="Заголовок"/>
    <w:basedOn w:val="Normal"/>
    <w:next w:val="Style23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3">
    <w:name w:val="Body Text"/>
    <w:basedOn w:val="Normal"/>
    <w:pPr>
      <w:spacing w:lineRule="auto" w:line="276" w:before="0" w:after="140"/>
    </w:pPr>
    <w:rPr/>
  </w:style>
  <w:style w:type="paragraph" w:styleId="Style24">
    <w:name w:val="List"/>
    <w:basedOn w:val="Style23"/>
    <w:pPr/>
    <w:rPr>
      <w:rFonts w:cs="Noto Sans Devanagari"/>
    </w:rPr>
  </w:style>
  <w:style w:type="paragraph" w:styleId="Style25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27" w:customStyle="1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unhideWhenUsed/>
    <w:rsid w:val="00941f23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NoSpacing">
    <w:name w:val="No Spacing"/>
    <w:uiPriority w:val="1"/>
    <w:qFormat/>
    <w:rsid w:val="00941f23"/>
    <w:pPr>
      <w:widowControl/>
      <w:suppressAutoHyphens w:val="true"/>
      <w:bidi w:val="0"/>
      <w:spacing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0"/>
      <w:szCs w:val="20"/>
      <w:lang w:val="ru-RU" w:eastAsia="en-US" w:bidi="ar-SA"/>
    </w:rPr>
  </w:style>
  <w:style w:type="paragraph" w:styleId="Msonormalcxspmiddlecxspmiddle" w:customStyle="1">
    <w:name w:val="msonormalcxspmiddlecxspmiddle"/>
    <w:basedOn w:val="Normal"/>
    <w:qFormat/>
    <w:rsid w:val="00941f23"/>
    <w:pPr>
      <w:spacing w:beforeAutospacing="1" w:afterAutospacing="1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b06a24"/>
    <w:pPr>
      <w:spacing w:before="0" w:after="0"/>
      <w:ind w:left="720" w:hanging="0"/>
      <w:contextualSpacing/>
    </w:pPr>
    <w:rPr/>
  </w:style>
  <w:style w:type="paragraph" w:styleId="BalloonText">
    <w:name w:val="Balloon Text"/>
    <w:basedOn w:val="Normal"/>
    <w:uiPriority w:val="99"/>
    <w:semiHidden/>
    <w:unhideWhenUsed/>
    <w:qFormat/>
    <w:rsid w:val="006a35a3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uiPriority w:val="99"/>
    <w:qFormat/>
    <w:rsid w:val="00707584"/>
    <w:pPr>
      <w:widowControl w:val="false"/>
      <w:suppressAutoHyphens w:val="true"/>
      <w:bidi w:val="0"/>
      <w:spacing w:before="0" w:after="0"/>
      <w:jc w:val="left"/>
    </w:pPr>
    <w:rPr>
      <w:rFonts w:ascii="Arial" w:hAnsi="Arial" w:eastAsia="" w:cs="Arial" w:eastAsiaTheme="minorEastAsia"/>
      <w:b/>
      <w:bCs/>
      <w:color w:val="auto"/>
      <w:kern w:val="0"/>
      <w:sz w:val="16"/>
      <w:szCs w:val="16"/>
      <w:lang w:val="ru-RU" w:eastAsia="ru-RU" w:bidi="ar-SA"/>
    </w:rPr>
  </w:style>
  <w:style w:type="paragraph" w:styleId="ConsPlusNonformat" w:customStyle="1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zh-CN" w:bidi="ar-SA"/>
    </w:rPr>
  </w:style>
  <w:style w:type="paragraph" w:styleId="Style29">
    <w:name w:val="Footnote Text"/>
    <w:basedOn w:val="Normal"/>
    <w:pPr>
      <w:suppressLineNumbers/>
      <w:ind w:left="339" w:hanging="33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862</TotalTime>
  <Application>LibreOffice/6.4.7.2$Linux_X86_64 LibreOffice_project/40$Build-2</Application>
  <Pages>2</Pages>
  <Words>507</Words>
  <Characters>2892</Characters>
  <CharactersWithSpaces>3393</CharactersWithSpaces>
  <Paragraphs>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2018-09-05T11:04:00Z</dcterms:created>
  <dc:creator>Белый МВ</dc:creator>
  <dc:description/>
  <dc:language>ru-RU</dc:language>
  <cp:lastModifiedBy/>
  <cp:lastPrinted>2018-07-31T06:13:00Z</cp:lastPrinted>
  <dcterms:modified xsi:type="dcterms:W3CDTF">2024-01-10T12:50:38Z</dcterms:modified>
  <cp:revision>76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