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ind w:hanging="0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Анализ практики </w:t>
      </w:r>
    </w:p>
    <w:p>
      <w:pPr>
        <w:pStyle w:val="Normal"/>
        <w:shd w:val="clear" w:color="auto" w:fill="FFFFFF"/>
        <w:ind w:hanging="0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осуществления отделом государственного контроля </w:t>
      </w:r>
    </w:p>
    <w:p>
      <w:pPr>
        <w:pStyle w:val="Normal"/>
        <w:shd w:val="clear" w:color="auto" w:fill="FFFFFF"/>
        <w:ind w:hanging="0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Управления Росгвардии по Пермскому краю федерального государственного контроля (надзора) в установленных сферах </w:t>
      </w:r>
    </w:p>
    <w:p>
      <w:pPr>
        <w:pStyle w:val="Normal"/>
        <w:shd w:val="clear" w:color="auto" w:fill="FFFFFF"/>
        <w:ind w:hanging="0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>за 20</w:t>
      </w:r>
      <w:r>
        <w:rPr>
          <w:rFonts w:eastAsia="Times New Roman" w:cs="Times New Roman"/>
          <w:b/>
          <w:bCs/>
          <w:iCs/>
          <w:color w:val="000000"/>
          <w:spacing w:val="-7"/>
          <w:kern w:val="0"/>
          <w:sz w:val="28"/>
          <w:szCs w:val="28"/>
          <w:lang w:val="ru-RU" w:eastAsia="ru-RU" w:bidi="ar-SA"/>
        </w:rPr>
        <w:t xml:space="preserve">22 </w:t>
      </w:r>
      <w:r>
        <w:rPr>
          <w:b/>
          <w:bCs/>
          <w:iCs/>
          <w:color w:val="000000"/>
          <w:spacing w:val="-7"/>
          <w:sz w:val="28"/>
          <w:szCs w:val="28"/>
        </w:rPr>
        <w:t>г</w:t>
      </w:r>
      <w:r>
        <w:rPr>
          <w:b/>
          <w:bCs/>
          <w:iCs/>
          <w:color w:val="000000"/>
          <w:spacing w:val="-7"/>
          <w:sz w:val="28"/>
          <w:szCs w:val="28"/>
        </w:rPr>
        <w:t>од</w:t>
      </w:r>
      <w:r>
        <w:rPr>
          <w:b/>
          <w:bCs/>
          <w:iCs/>
          <w:color w:val="000000"/>
          <w:spacing w:val="-7"/>
          <w:sz w:val="28"/>
          <w:szCs w:val="28"/>
        </w:rPr>
        <w:t>.</w:t>
      </w:r>
    </w:p>
    <w:p>
      <w:pPr>
        <w:pStyle w:val="Normal"/>
        <w:shd w:val="clear" w:color="auto" w:fill="FFFFFF"/>
        <w:ind w:hanging="0"/>
        <w:jc w:val="center"/>
        <w:rPr>
          <w:b/>
          <w:b/>
          <w:bCs/>
          <w:iCs/>
          <w:color w:val="000000"/>
          <w:spacing w:val="-7"/>
        </w:rPr>
      </w:pPr>
      <w:r>
        <w:rPr>
          <w:b/>
          <w:bCs/>
          <w:iCs/>
          <w:color w:val="000000"/>
          <w:spacing w:val="-7"/>
        </w:rPr>
      </w:r>
    </w:p>
    <w:p>
      <w:pPr>
        <w:pStyle w:val="Normal"/>
        <w:shd w:val="clear" w:color="auto" w:fill="FFFFFF"/>
        <w:ind w:hanging="0"/>
        <w:jc w:val="both"/>
        <w:rPr>
          <w:b/>
          <w:b/>
          <w:bCs/>
        </w:rPr>
      </w:pPr>
      <w:r>
        <w:rPr>
          <w:b/>
          <w:bCs/>
          <w:iCs/>
          <w:color w:val="000000"/>
          <w:spacing w:val="-7"/>
          <w:sz w:val="28"/>
          <w:szCs w:val="28"/>
        </w:rPr>
        <w:t>1.</w:t>
        <w:tab/>
        <w:t>Контроль (надзор) за обеспечением безопасности объектов топливно-энергетического комплекса.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В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 xml:space="preserve">2022 </w:t>
      </w:r>
      <w:r>
        <w:rPr>
          <w:sz w:val="28"/>
          <w:szCs w:val="28"/>
        </w:rPr>
        <w:t>год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у</w:t>
      </w:r>
      <w:r>
        <w:rPr>
          <w:sz w:val="28"/>
          <w:szCs w:val="28"/>
        </w:rPr>
        <w:t xml:space="preserve"> проведено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13</w:t>
      </w:r>
      <w:r>
        <w:rPr>
          <w:sz w:val="28"/>
          <w:szCs w:val="28"/>
        </w:rPr>
        <w:t xml:space="preserve"> плановых проверок объектов </w:t>
      </w:r>
      <w:r>
        <w:rPr>
          <w:b w:val="false"/>
          <w:bCs w:val="false"/>
          <w:iCs/>
          <w:color w:val="000000"/>
          <w:spacing w:val="-7"/>
          <w:sz w:val="28"/>
          <w:szCs w:val="28"/>
        </w:rPr>
        <w:t>топливно-энергетического комплекса</w:t>
      </w:r>
      <w:r>
        <w:rPr>
          <w:sz w:val="28"/>
          <w:szCs w:val="28"/>
        </w:rPr>
        <w:t xml:space="preserve"> (План проведения Управлением Росгвардии по Пермскому краю плановых проверок объектов </w:t>
      </w:r>
      <w:r>
        <w:rPr>
          <w:b w:val="false"/>
          <w:bCs w:val="false"/>
          <w:iCs/>
          <w:color w:val="000000"/>
          <w:spacing w:val="-7"/>
          <w:sz w:val="28"/>
          <w:szCs w:val="28"/>
        </w:rPr>
        <w:t>топливно-энергетического комплекса выполнен на 100%</w:t>
      </w:r>
      <w:r>
        <w:rPr>
          <w:sz w:val="28"/>
          <w:szCs w:val="28"/>
        </w:rPr>
        <w:t xml:space="preserve">). 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В ходе проверок на 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3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>-х объект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ах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выявлено 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30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нарушений обязательных требований обеспечения безопасности и антитеррористической защищенности, установленных законодательством Российской Федерации. По итогам проверок руководител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ям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субъект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ов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ТЭК выдан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ы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предписани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я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, так же 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юридические и должностные лица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привлечены к административной ответственности по ст. 20.30 КоАП РФ.</w:t>
      </w:r>
    </w:p>
    <w:p>
      <w:pPr>
        <w:pStyle w:val="Normal"/>
        <w:ind w:firstLine="709"/>
        <w:jc w:val="both"/>
        <w:rPr>
          <w:sz w:val="28"/>
          <w:szCs w:val="28"/>
        </w:rPr>
      </w:pPr>
      <w:bookmarkStart w:id="0" w:name="__DdeLink__336_774325050"/>
      <w:r>
        <w:rPr>
          <w:rFonts w:cs="Times New Roman"/>
          <w:bCs/>
          <w:sz w:val="28"/>
          <w:szCs w:val="28"/>
        </w:rPr>
        <w:t xml:space="preserve">В ходе контроля исполнения ранее выданных предписаний </w:t>
      </w:r>
      <w:r>
        <w:rPr>
          <w:rFonts w:cs="Times New Roman"/>
          <w:bCs/>
          <w:sz w:val="28"/>
          <w:szCs w:val="28"/>
        </w:rPr>
        <w:t>об устранении выявленных нарушений</w:t>
      </w:r>
      <w:r>
        <w:rPr>
          <w:rFonts w:cs="Times New Roman"/>
          <w:bCs/>
          <w:sz w:val="28"/>
          <w:szCs w:val="28"/>
        </w:rPr>
        <w:t xml:space="preserve"> проведено 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2</w:t>
      </w:r>
      <w:r>
        <w:rPr>
          <w:rFonts w:cs="Times New Roman"/>
          <w:bCs/>
          <w:sz w:val="28"/>
          <w:szCs w:val="28"/>
        </w:rPr>
        <w:t xml:space="preserve"> внеплановы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е</w:t>
      </w:r>
      <w:r>
        <w:rPr>
          <w:rFonts w:cs="Times New Roman"/>
          <w:bCs/>
          <w:sz w:val="28"/>
          <w:szCs w:val="28"/>
        </w:rPr>
        <w:t xml:space="preserve"> проверки объектов ТЭК, 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по результатам</w:t>
      </w:r>
      <w:r>
        <w:rPr>
          <w:rFonts w:cs="Times New Roman"/>
          <w:bCs/>
          <w:sz w:val="28"/>
          <w:szCs w:val="28"/>
        </w:rPr>
        <w:t xml:space="preserve"> которых установлено, что 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rFonts w:cs="Times New Roman"/>
          <w:bCs/>
          <w:sz w:val="28"/>
          <w:szCs w:val="28"/>
        </w:rPr>
        <w:t xml:space="preserve"> предписани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е</w:t>
      </w:r>
      <w:r>
        <w:rPr>
          <w:rFonts w:cs="Times New Roman"/>
          <w:bCs/>
          <w:sz w:val="28"/>
          <w:szCs w:val="28"/>
        </w:rPr>
        <w:t xml:space="preserve"> не исполнен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о</w:t>
      </w:r>
      <w:r>
        <w:rPr>
          <w:rFonts w:cs="Times New Roman"/>
          <w:bCs/>
          <w:sz w:val="28"/>
          <w:szCs w:val="28"/>
        </w:rPr>
        <w:t xml:space="preserve">, в связи с чем 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 xml:space="preserve">должностное лицо объекта ТЭК </w:t>
      </w:r>
      <w:r>
        <w:rPr>
          <w:rFonts w:cs="Times New Roman"/>
          <w:bCs/>
          <w:sz w:val="28"/>
          <w:szCs w:val="28"/>
        </w:rPr>
        <w:t>привлечен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о</w:t>
      </w:r>
      <w:r>
        <w:rPr>
          <w:rFonts w:cs="Times New Roman"/>
          <w:bCs/>
          <w:sz w:val="28"/>
          <w:szCs w:val="28"/>
        </w:rPr>
        <w:t xml:space="preserve"> к административной ответственности по </w:t>
      </w:r>
      <w:r>
        <w:rPr>
          <w:rStyle w:val="Style2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ч. 36 </w:t>
      </w:r>
      <w:r>
        <w:rPr>
          <w:rFonts w:cs="Times New Roman"/>
          <w:bCs/>
          <w:sz w:val="28"/>
          <w:szCs w:val="28"/>
        </w:rPr>
        <w:t>ст. 19.5 КоАП РФ.</w:t>
      </w:r>
      <w:bookmarkEnd w:id="0"/>
    </w:p>
    <w:p>
      <w:pPr>
        <w:pStyle w:val="Normal"/>
        <w:tabs>
          <w:tab w:val="clear" w:pos="708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Нарушения выявленные в ходе проверок относятся </w:t>
      </w:r>
      <w:r>
        <w:rPr>
          <w:rFonts w:cs="Times New Roman"/>
          <w:bCs/>
          <w:sz w:val="28"/>
          <w:szCs w:val="28"/>
        </w:rPr>
        <w:t>к</w:t>
      </w:r>
      <w:r>
        <w:rPr>
          <w:rFonts w:cs="Times New Roman"/>
          <w:bCs/>
          <w:sz w:val="28"/>
          <w:szCs w:val="28"/>
        </w:rPr>
        <w:t>:</w:t>
      </w:r>
    </w:p>
    <w:p>
      <w:pPr>
        <w:pStyle w:val="Style23"/>
        <w:widowControl w:val="false"/>
        <w:shd w:val="clear" w:fill="FFFFFF"/>
        <w:suppressAutoHyphens w:val="true"/>
        <w:bidi w:val="0"/>
        <w:spacing w:lineRule="auto" w:line="240" w:before="0" w:after="0"/>
        <w:ind w:left="0" w:right="0" w:hanging="0"/>
        <w:jc w:val="both"/>
        <w:rPr>
          <w:rFonts w:cs="Times New Roman"/>
          <w:bCs/>
          <w:sz w:val="26"/>
          <w:szCs w:val="26"/>
        </w:rPr>
      </w:pPr>
      <w:r>
        <w:rPr>
          <w:rFonts w:cs="Times New Roman"/>
          <w:bCs/>
          <w:color w:val="000000"/>
          <w:sz w:val="28"/>
          <w:szCs w:val="28"/>
        </w:rPr>
        <w:t>-</w:t>
        <w:tab/>
        <w:t>инженерно-техническим средствам охраны;</w:t>
      </w:r>
    </w:p>
    <w:p>
      <w:pPr>
        <w:pStyle w:val="Style23"/>
        <w:widowControl w:val="false"/>
        <w:shd w:val="clear" w:fill="FFFFFF"/>
        <w:suppressAutoHyphens w:val="true"/>
        <w:bidi w:val="0"/>
        <w:spacing w:lineRule="auto" w:line="240" w:before="0" w:after="0"/>
        <w:ind w:left="0" w:right="0" w:hanging="0"/>
        <w:jc w:val="both"/>
        <w:rPr>
          <w:rFonts w:cs="Times New Roman"/>
          <w:bCs/>
          <w:sz w:val="26"/>
          <w:szCs w:val="26"/>
        </w:rPr>
      </w:pPr>
      <w:r>
        <w:rPr>
          <w:rFonts w:cs="Times New Roman"/>
          <w:bCs/>
          <w:color w:val="000000"/>
          <w:sz w:val="28"/>
          <w:szCs w:val="28"/>
        </w:rPr>
        <w:t>-</w:t>
        <w:tab/>
        <w:t>системе охранной сигнализации;</w:t>
      </w:r>
    </w:p>
    <w:p>
      <w:pPr>
        <w:pStyle w:val="Style23"/>
        <w:widowControl w:val="false"/>
        <w:shd w:val="clear" w:fill="FFFFFF"/>
        <w:suppressAutoHyphens w:val="true"/>
        <w:bidi w:val="0"/>
        <w:spacing w:lineRule="auto" w:line="240" w:before="0" w:after="0"/>
        <w:ind w:left="0" w:right="0" w:hanging="0"/>
        <w:jc w:val="both"/>
        <w:rPr>
          <w:rFonts w:cs="Times New Roman"/>
          <w:bCs/>
          <w:sz w:val="26"/>
          <w:szCs w:val="26"/>
        </w:rPr>
      </w:pPr>
      <w:r>
        <w:rPr>
          <w:rFonts w:cs="Times New Roman"/>
          <w:bCs/>
          <w:color w:val="000000"/>
          <w:sz w:val="28"/>
          <w:szCs w:val="28"/>
        </w:rPr>
        <w:t>-</w:t>
        <w:tab/>
        <w:t>системе охранного освещения;</w:t>
      </w:r>
    </w:p>
    <w:p>
      <w:pPr>
        <w:pStyle w:val="Style23"/>
        <w:widowControl w:val="false"/>
        <w:shd w:val="clear" w:fill="FFFFFF"/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rFonts w:cs="Times New Roman"/>
          <w:bCs/>
          <w:color w:val="000000"/>
          <w:sz w:val="28"/>
          <w:szCs w:val="28"/>
        </w:rPr>
        <w:t>-</w:t>
        <w:tab/>
        <w:t>системе электропитания;</w:t>
      </w:r>
    </w:p>
    <w:p>
      <w:pPr>
        <w:pStyle w:val="Style23"/>
        <w:widowControl w:val="false"/>
        <w:shd w:val="clear" w:fill="FFFFFF"/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rFonts w:cs="Times New Roman"/>
          <w:bCs/>
          <w:color w:val="000000"/>
          <w:sz w:val="28"/>
          <w:szCs w:val="28"/>
        </w:rPr>
        <w:t>-</w:t>
        <w:tab/>
        <w:t>не проведени</w:t>
      </w:r>
      <w:r>
        <w:rPr>
          <w:rFonts w:eastAsia="Times New Roman" w:cs="Times New Roman"/>
          <w:bCs/>
          <w:color w:val="000000"/>
          <w:kern w:val="0"/>
          <w:sz w:val="28"/>
          <w:szCs w:val="28"/>
          <w:lang w:val="ru-RU" w:eastAsia="ru-RU" w:bidi="ar-SA"/>
        </w:rPr>
        <w:t>ю</w:t>
      </w:r>
      <w:r>
        <w:rPr>
          <w:rFonts w:cs="Times New Roman"/>
          <w:bCs/>
          <w:color w:val="000000"/>
          <w:sz w:val="28"/>
          <w:szCs w:val="28"/>
        </w:rPr>
        <w:t xml:space="preserve"> анализа уязвимости и актуализации паспорта безопасности объекта.</w:t>
      </w:r>
    </w:p>
    <w:p>
      <w:pPr>
        <w:pStyle w:val="Normal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</w:r>
    </w:p>
    <w:p>
      <w:pPr>
        <w:pStyle w:val="Normal"/>
        <w:widowControl/>
        <w:numPr>
          <w:ilvl w:val="0"/>
          <w:numId w:val="0"/>
        </w:numPr>
        <w:tabs>
          <w:tab w:val="clear" w:pos="708"/>
          <w:tab w:val="left" w:pos="739" w:leader="none"/>
        </w:tabs>
        <w:bidi w:val="0"/>
        <w:ind w:left="0" w:right="0" w:hanging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2.</w:t>
        <w:tab/>
        <w:t xml:space="preserve">Контроль за деятельностью </w:t>
      </w:r>
      <w:r>
        <w:rPr>
          <w:b/>
          <w:bCs/>
          <w:iCs/>
          <w:color w:val="000000"/>
          <w:spacing w:val="-7"/>
          <w:sz w:val="28"/>
          <w:szCs w:val="28"/>
        </w:rPr>
        <w:t xml:space="preserve">подразделений охраны </w:t>
      </w:r>
      <w:bookmarkStart w:id="1" w:name="__DdeLink__75_934537818"/>
      <w:r>
        <w:rPr>
          <w:b/>
          <w:bCs/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подразделений ведомственной охраны.</w:t>
      </w:r>
      <w:bookmarkEnd w:id="1"/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В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 xml:space="preserve">2022 </w:t>
      </w:r>
      <w:r>
        <w:rPr>
          <w:sz w:val="28"/>
          <w:szCs w:val="28"/>
        </w:rPr>
        <w:t>год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у</w:t>
      </w:r>
      <w:r>
        <w:rPr>
          <w:sz w:val="28"/>
          <w:szCs w:val="28"/>
        </w:rPr>
        <w:t xml:space="preserve"> проведено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6</w:t>
      </w:r>
      <w:r>
        <w:rPr>
          <w:sz w:val="28"/>
          <w:szCs w:val="28"/>
        </w:rPr>
        <w:t xml:space="preserve"> плановых проверок </w:t>
      </w:r>
      <w:r>
        <w:rPr>
          <w:b w:val="false"/>
          <w:bCs w:val="false"/>
          <w:sz w:val="28"/>
          <w:szCs w:val="28"/>
        </w:rPr>
        <w:t xml:space="preserve">подразделений охраны </w:t>
      </w:r>
      <w:r>
        <w:rPr>
          <w:b w:val="false"/>
          <w:bCs w:val="false"/>
          <w:iCs/>
          <w:color w:val="000000"/>
          <w:spacing w:val="-7"/>
          <w:sz w:val="28"/>
          <w:szCs w:val="28"/>
        </w:rPr>
        <w:t xml:space="preserve">юридических лиц с особыми уставными задачами и подразделений ведомственной охраны </w:t>
      </w:r>
      <w:r>
        <w:rPr>
          <w:sz w:val="28"/>
          <w:szCs w:val="28"/>
        </w:rPr>
        <w:t>(П</w:t>
      </w:r>
      <w:r>
        <w:rPr>
          <w:b w:val="false"/>
          <w:bCs w:val="false"/>
          <w:sz w:val="28"/>
          <w:szCs w:val="28"/>
        </w:rPr>
        <w:t>лан проверок юридических лиц и индивидуальных предпринимателей на 202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2</w:t>
      </w:r>
      <w:r>
        <w:rPr>
          <w:b w:val="false"/>
          <w:bCs w:val="false"/>
          <w:sz w:val="28"/>
          <w:szCs w:val="28"/>
        </w:rPr>
        <w:t xml:space="preserve"> год выполнен на 100%</w:t>
      </w:r>
      <w:r>
        <w:rPr>
          <w:sz w:val="28"/>
          <w:szCs w:val="28"/>
        </w:rPr>
        <w:t xml:space="preserve">). 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В ходе проверок выявлено 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22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нарушени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я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обязательных требований</w:t>
      </w:r>
      <w:r>
        <w:rPr>
          <w:rStyle w:val="Style17"/>
          <w:rFonts w:eastAsia="Calibri"/>
          <w:bCs/>
          <w:i w:val="false"/>
          <w:iCs w:val="false"/>
          <w:color w:val="000000"/>
          <w:sz w:val="28"/>
          <w:szCs w:val="28"/>
          <w:lang w:val="ru-RU"/>
        </w:rPr>
        <w:t xml:space="preserve">, установленных законодательством Российской Федерации. 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>По итогам проверок руководител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ям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</w:t>
      </w:r>
      <w:r>
        <w:rPr>
          <w:rStyle w:val="Style17"/>
          <w:rFonts w:eastAsia="Calibri"/>
          <w:bCs/>
          <w:i w:val="false"/>
          <w:iCs w:val="false"/>
          <w:color w:val="000000"/>
          <w:sz w:val="28"/>
          <w:szCs w:val="28"/>
          <w:lang w:val="ru-RU"/>
        </w:rPr>
        <w:t>подразделения охраны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выдан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о 5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 предписани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й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 xml:space="preserve">, </w:t>
      </w:r>
      <w:r>
        <w:rPr>
          <w:rStyle w:val="Style17"/>
          <w:rFonts w:eastAsia="Calibri"/>
          <w:b w:val="false"/>
          <w:bCs/>
          <w:i w:val="false"/>
          <w:iCs w:val="false"/>
          <w:color w:val="auto"/>
          <w:sz w:val="28"/>
          <w:szCs w:val="28"/>
          <w:lang w:val="ru-RU"/>
        </w:rPr>
        <w:t>2 должностных лица</w:t>
      </w:r>
      <w:r>
        <w:rPr>
          <w:rStyle w:val="Style17"/>
          <w:rFonts w:eastAsia="Calibri"/>
          <w:bCs/>
          <w:i w:val="false"/>
          <w:iCs w:val="false"/>
          <w:color w:val="000000"/>
          <w:sz w:val="28"/>
          <w:szCs w:val="28"/>
          <w:lang w:val="ru-RU"/>
        </w:rPr>
        <w:t xml:space="preserve"> привлечено к административной ответственности по  ст. 20.8 КоАП РФ</w:t>
      </w:r>
      <w:r>
        <w:rPr>
          <w:rStyle w:val="Style17"/>
          <w:rFonts w:eastAsia="Calibri"/>
          <w:bCs/>
          <w:i w:val="false"/>
          <w:iCs w:val="false"/>
          <w:color w:val="auto"/>
          <w:sz w:val="28"/>
          <w:szCs w:val="28"/>
          <w:lang w:val="ru-RU"/>
        </w:rPr>
        <w:t>.</w:t>
      </w:r>
    </w:p>
    <w:p>
      <w:pPr>
        <w:pStyle w:val="Normal"/>
        <w:tabs>
          <w:tab w:val="clear" w:pos="708"/>
          <w:tab w:val="left" w:pos="1418" w:leader="none"/>
        </w:tabs>
        <w:ind w:firstLine="709"/>
        <w:jc w:val="both"/>
        <w:rPr>
          <w:sz w:val="28"/>
          <w:szCs w:val="28"/>
        </w:rPr>
      </w:pPr>
      <w:bookmarkStart w:id="2" w:name="__DdeLink__336_7743250501"/>
      <w:r>
        <w:rPr>
          <w:rFonts w:cs="Times New Roman"/>
          <w:bCs/>
          <w:sz w:val="28"/>
          <w:szCs w:val="28"/>
        </w:rPr>
        <w:t xml:space="preserve">В ходе контроля исполнения ранее выданных предписаний проведено 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8</w:t>
      </w:r>
      <w:r>
        <w:rPr>
          <w:rFonts w:cs="Times New Roman"/>
          <w:bCs/>
          <w:sz w:val="28"/>
          <w:szCs w:val="28"/>
        </w:rPr>
        <w:t xml:space="preserve"> внеплановы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х</w:t>
      </w:r>
      <w:r>
        <w:rPr>
          <w:rFonts w:cs="Times New Roman"/>
          <w:bCs/>
          <w:sz w:val="28"/>
          <w:szCs w:val="28"/>
        </w:rPr>
        <w:t xml:space="preserve"> проверок, в ходе которых установлено, что 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rFonts w:cs="Times New Roman"/>
          <w:bCs/>
          <w:sz w:val="28"/>
          <w:szCs w:val="28"/>
        </w:rPr>
        <w:t xml:space="preserve"> предписани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е</w:t>
      </w:r>
      <w:r>
        <w:rPr>
          <w:rFonts w:cs="Times New Roman"/>
          <w:bCs/>
          <w:sz w:val="28"/>
          <w:szCs w:val="28"/>
        </w:rPr>
        <w:t xml:space="preserve"> не исполнен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о</w:t>
      </w:r>
      <w:r>
        <w:rPr>
          <w:rFonts w:cs="Times New Roman"/>
          <w:bCs/>
          <w:sz w:val="28"/>
          <w:szCs w:val="28"/>
        </w:rPr>
        <w:t xml:space="preserve">, в связи с чем 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 xml:space="preserve">должностное лицо </w:t>
      </w:r>
      <w:r>
        <w:rPr>
          <w:rFonts w:eastAsia="Times New Roman" w:cs="Times New Roman"/>
          <w:b w:val="false"/>
          <w:bCs w:val="false"/>
          <w:iCs/>
          <w:color w:val="000000"/>
          <w:spacing w:val="-7"/>
          <w:kern w:val="0"/>
          <w:sz w:val="28"/>
          <w:szCs w:val="28"/>
          <w:lang w:val="ru-RU" w:eastAsia="ru-RU" w:bidi="ar-SA"/>
        </w:rPr>
        <w:t xml:space="preserve">подразделения охраны </w:t>
      </w:r>
      <w:r>
        <w:rPr>
          <w:rFonts w:cs="Times New Roman"/>
          <w:bCs/>
          <w:sz w:val="28"/>
          <w:szCs w:val="28"/>
        </w:rPr>
        <w:t>привлечен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о</w:t>
      </w:r>
      <w:r>
        <w:rPr>
          <w:rFonts w:cs="Times New Roman"/>
          <w:bCs/>
          <w:sz w:val="28"/>
          <w:szCs w:val="28"/>
        </w:rPr>
        <w:t xml:space="preserve"> к административной ответственности по </w:t>
      </w:r>
      <w:r>
        <w:rPr>
          <w:rStyle w:val="Style2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ч. 36 </w:t>
      </w:r>
      <w:r>
        <w:rPr>
          <w:rFonts w:cs="Times New Roman"/>
          <w:bCs/>
          <w:sz w:val="28"/>
          <w:szCs w:val="28"/>
        </w:rPr>
        <w:t>ст. 19.5 КоАП РФ.</w:t>
      </w:r>
      <w:bookmarkEnd w:id="2"/>
    </w:p>
    <w:p>
      <w:pPr>
        <w:pStyle w:val="Normal"/>
        <w:tabs>
          <w:tab w:val="clear" w:pos="708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Нарушения, выявленные в ходе проверок: </w:t>
      </w:r>
    </w:p>
    <w:p>
      <w:pPr>
        <w:pStyle w:val="Normal"/>
        <w:tabs>
          <w:tab w:val="clear" w:pos="708"/>
          <w:tab w:val="left" w:pos="739" w:leader="none"/>
        </w:tabs>
        <w:ind w:hanging="0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не прохождение работниками </w:t>
      </w:r>
      <w:r>
        <w:rPr>
          <w:rFonts w:cs="Times New Roman"/>
          <w:color w:val="000000"/>
          <w:sz w:val="28"/>
          <w:szCs w:val="28"/>
        </w:rPr>
        <w:t>подразделения охраны</w:t>
      </w:r>
      <w:r>
        <w:rPr>
          <w:rFonts w:cs="Times New Roman"/>
          <w:sz w:val="28"/>
          <w:szCs w:val="28"/>
        </w:rPr>
        <w:t xml:space="preserve"> в установленный срок плановых периодических проверок на пригодность к действиям в условиях, связанных с применением огнестрельного оружия и специальных средств;</w:t>
      </w:r>
    </w:p>
    <w:p>
      <w:pPr>
        <w:pStyle w:val="Normal"/>
        <w:ind w:hanging="0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rFonts w:cs="Times New Roman"/>
          <w:color w:val="000000"/>
          <w:sz w:val="28"/>
          <w:szCs w:val="28"/>
          <w:lang w:val="ru-RU"/>
        </w:rPr>
        <w:t>не прохождение работниками подразделения охраны</w:t>
      </w:r>
      <w:r>
        <w:rPr>
          <w:rFonts w:cs="Times New Roman"/>
          <w:sz w:val="28"/>
          <w:szCs w:val="28"/>
          <w:lang w:val="ru-RU"/>
        </w:rPr>
        <w:t xml:space="preserve"> ежегодных химико-токсикологических исследований наличия в организме человека наркотических средств, психотропных веществ и их метаболитов;</w:t>
      </w:r>
    </w:p>
    <w:p>
      <w:pPr>
        <w:pStyle w:val="Normal"/>
        <w:ind w:hanging="0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  <w:lang w:val="ru-RU"/>
        </w:rPr>
        <w:t xml:space="preserve">-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zh-CN" w:bidi="ar-SA"/>
        </w:rPr>
        <w:t>не организован учет выдачи направлений для прохождения работниками Подразделения охраны медицинского осмотра;</w:t>
      </w:r>
      <w:r>
        <w:rPr>
          <w:rFonts w:cs="Times New Roman"/>
          <w:sz w:val="28"/>
          <w:szCs w:val="28"/>
          <w:lang w:val="ru-RU"/>
        </w:rPr>
        <w:t xml:space="preserve"> </w:t>
      </w:r>
    </w:p>
    <w:p>
      <w:pPr>
        <w:pStyle w:val="Normal"/>
        <w:ind w:hanging="0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  <w:lang w:val="ru-RU"/>
        </w:rPr>
        <w:t xml:space="preserve">- </w:t>
      </w:r>
      <w:r>
        <w:rPr>
          <w:rFonts w:cs="Times New Roman"/>
          <w:color w:val="000000"/>
          <w:sz w:val="28"/>
          <w:szCs w:val="28"/>
          <w:lang w:val="ru-RU"/>
        </w:rPr>
        <w:t>работники подразделения охраны, исполняющие обязанности, связанные с учетом, хранением, ношением и использованием оружия, не проходят обязательную государственную дактилоскопическую регистрацию;</w:t>
      </w:r>
    </w:p>
    <w:p>
      <w:pPr>
        <w:pStyle w:val="ConsPlusNonformat"/>
        <w:widowControl/>
        <w:suppressAutoHyphens w:val="true"/>
        <w:overflowPunct w:val="true"/>
        <w:bidi w:val="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  <w:lang w:val="ru-RU"/>
        </w:rPr>
        <w:t xml:space="preserve">- нарушение </w:t>
      </w:r>
      <w:r>
        <w:rPr>
          <w:rFonts w:eastAsia="Times New Roman" w:cs="Times New Roman" w:ascii="Times New Roman" w:hAnsi="Times New Roman"/>
          <w:b w:val="false"/>
          <w:color w:val="000000"/>
          <w:kern w:val="0"/>
          <w:sz w:val="28"/>
          <w:szCs w:val="28"/>
          <w:lang w:val="ru-RU" w:eastAsia="zh-CN" w:bidi="ar-SA"/>
        </w:rPr>
        <w:t>н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lang w:val="ru-RU"/>
        </w:rPr>
        <w:t>орм обеспечения боевым ручным стрелковым, служебным, гражданским оружием, патронами и боеприпасами к нему, специальными средствами работников охраны военизированных и сторожевых подразделений;</w:t>
      </w:r>
    </w:p>
    <w:p>
      <w:pPr>
        <w:pStyle w:val="Normal"/>
        <w:widowControl/>
        <w:tabs>
          <w:tab w:val="clear" w:pos="708"/>
          <w:tab w:val="left" w:pos="396" w:leader="none"/>
        </w:tabs>
        <w:suppressAutoHyphens w:val="true"/>
        <w:overflowPunct w:val="true"/>
        <w:bidi w:val="0"/>
        <w:ind w:hanging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/>
          <w:b w:val="false"/>
          <w:color w:val="000000"/>
          <w:sz w:val="28"/>
          <w:szCs w:val="28"/>
          <w:lang w:val="ru-RU"/>
        </w:rPr>
        <w:t xml:space="preserve">- </w:t>
      </w:r>
      <w:r>
        <w:rPr>
          <w:rFonts w:eastAsia="Calibri" w:cs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/>
        </w:rPr>
        <w:t>охрана объектов не включенных в перечень сферы ведения</w:t>
      </w:r>
      <w:r>
        <w:rPr>
          <w:rFonts w:cs="Times New Roman"/>
          <w:b w:val="false"/>
          <w:color w:val="000000"/>
          <w:sz w:val="28"/>
          <w:szCs w:val="28"/>
          <w:lang w:val="ru-RU"/>
        </w:rPr>
        <w:t xml:space="preserve"> подразделения ведомственной охраны;</w:t>
      </w:r>
    </w:p>
    <w:p>
      <w:pPr>
        <w:pStyle w:val="Normal"/>
        <w:widowControl/>
        <w:tabs>
          <w:tab w:val="clear" w:pos="708"/>
          <w:tab w:val="left" w:pos="396" w:leader="none"/>
        </w:tabs>
        <w:suppressAutoHyphens w:val="true"/>
        <w:overflowPunct w:val="true"/>
        <w:bidi w:val="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/>
          <w:b w:val="false"/>
          <w:color w:val="000000"/>
          <w:sz w:val="28"/>
          <w:szCs w:val="28"/>
          <w:lang w:val="ru-RU"/>
        </w:rPr>
        <w:t xml:space="preserve">- нарушение Правил </w:t>
      </w:r>
      <w:r>
        <w:rPr>
          <w:rFonts w:eastAsia="Times New Roman" w:cs="Times New Roman"/>
          <w:b w:val="false"/>
          <w:color w:val="000000"/>
          <w:sz w:val="28"/>
          <w:szCs w:val="28"/>
          <w:lang w:val="ru-RU" w:eastAsia="zh-CN" w:bidi="ar-SA"/>
        </w:rPr>
        <w:t>учета специальных средств при выдаче и сдаче</w:t>
      </w:r>
      <w:r>
        <w:rPr>
          <w:rFonts w:cs="Times New Roman"/>
          <w:b w:val="false"/>
          <w:color w:val="000000"/>
          <w:sz w:val="28"/>
          <w:szCs w:val="28"/>
          <w:lang w:val="ru-RU"/>
        </w:rPr>
        <w:t>, используемых работниками ведомственной охраны</w:t>
      </w:r>
      <w:r>
        <w:rPr>
          <w:rFonts w:eastAsia="Times New Roman" w:cs="Times New Roman"/>
          <w:b w:val="false"/>
          <w:color w:val="000000"/>
          <w:sz w:val="28"/>
          <w:szCs w:val="28"/>
          <w:lang w:val="ru-RU" w:eastAsia="zh-CN" w:bidi="ar-SA"/>
        </w:rPr>
        <w:t>;</w:t>
      </w:r>
    </w:p>
    <w:p>
      <w:pPr>
        <w:pStyle w:val="Normal"/>
        <w:widowControl/>
        <w:tabs>
          <w:tab w:val="clear" w:pos="708"/>
          <w:tab w:val="left" w:pos="396" w:leader="none"/>
        </w:tabs>
        <w:suppressAutoHyphens w:val="true"/>
        <w:overflowPunct w:val="true"/>
        <w:bidi w:val="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/>
          <w:b w:val="false"/>
          <w:color w:val="000000"/>
          <w:sz w:val="28"/>
          <w:szCs w:val="28"/>
          <w:lang w:val="ru-RU" w:eastAsia="zh-CN" w:bidi="ar-SA"/>
        </w:rPr>
        <w:t>- нарушение форменной одежды работник</w:t>
      </w:r>
      <w:r>
        <w:rPr>
          <w:rFonts w:eastAsia="Times New Roman" w:cs="Times New Roman"/>
          <w:b w:val="false"/>
          <w:color w:val="000000"/>
          <w:kern w:val="0"/>
          <w:sz w:val="28"/>
          <w:szCs w:val="28"/>
          <w:lang w:val="ru-RU" w:eastAsia="zh-CN" w:bidi="ar-SA"/>
        </w:rPr>
        <w:t>ом</w:t>
      </w:r>
      <w:r>
        <w:rPr>
          <w:rFonts w:eastAsia="Times New Roman" w:cs="Times New Roman"/>
          <w:b w:val="false"/>
          <w:color w:val="000000"/>
          <w:sz w:val="28"/>
          <w:szCs w:val="28"/>
          <w:lang w:val="ru-RU" w:eastAsia="zh-CN" w:bidi="ar-SA"/>
        </w:rPr>
        <w:t xml:space="preserve"> подразделения охраны при исполнении должностных обязанностей; </w:t>
      </w:r>
    </w:p>
    <w:p>
      <w:pPr>
        <w:pStyle w:val="ConsPlusNonformat"/>
        <w:widowControl/>
        <w:suppressAutoHyphens w:val="true"/>
        <w:overflowPunct w:val="false"/>
        <w:bidi w:val="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  <w:lang w:val="ru-RU"/>
        </w:rPr>
        <w:t xml:space="preserve">- непроведение учебных стрельб с </w:t>
      </w:r>
      <w:r>
        <w:rPr>
          <w:rFonts w:eastAsia="Times New Roman" w:cs="Times New Roman" w:ascii="Times New Roman" w:hAnsi="Times New Roman"/>
          <w:b w:val="false"/>
          <w:color w:val="000000"/>
          <w:sz w:val="28"/>
          <w:szCs w:val="28"/>
          <w:lang w:val="ru-RU" w:eastAsia="zh-CN" w:bidi="ar-SA"/>
        </w:rPr>
        <w:t>работника</w:t>
      </w:r>
      <w:r>
        <w:rPr>
          <w:rFonts w:eastAsia="Times New Roman" w:cs="Times New Roman" w:ascii="Times New Roman" w:hAnsi="Times New Roman"/>
          <w:b w:val="false"/>
          <w:color w:val="000000"/>
          <w:kern w:val="0"/>
          <w:sz w:val="28"/>
          <w:szCs w:val="28"/>
          <w:lang w:val="ru-RU" w:eastAsia="zh-CN" w:bidi="ar-SA"/>
        </w:rPr>
        <w:t>ми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lang w:val="ru-RU"/>
        </w:rPr>
        <w:t xml:space="preserve"> подразделений охраны.</w:t>
      </w:r>
    </w:p>
    <w:p>
      <w:pPr>
        <w:pStyle w:val="ConsPlusNonformat"/>
        <w:widowControl/>
        <w:suppressAutoHyphens w:val="true"/>
        <w:overflowPunct w:val="true"/>
        <w:bidi w:val="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/>
        <w:suppressAutoHyphens w:val="true"/>
        <w:overflowPunct w:val="true"/>
        <w:bidi w:val="0"/>
        <w:ind w:left="0" w:right="0" w:hanging="0"/>
        <w:jc w:val="both"/>
        <w:rPr>
          <w:rFonts w:cs="Times New Roman"/>
          <w:b w:val="false"/>
          <w:b w:val="false"/>
          <w:color w:val="000000"/>
          <w:lang w:val="ru-RU"/>
        </w:rPr>
      </w:pPr>
      <w:r>
        <w:rPr>
          <w:rFonts w:cs="Times New Roman"/>
          <w:b w:val="false"/>
          <w:color w:val="000000"/>
          <w:lang w:val="ru-RU"/>
        </w:rPr>
      </w:r>
    </w:p>
    <w:p>
      <w:pPr>
        <w:pStyle w:val="Normal"/>
        <w:widowControl/>
        <w:tabs>
          <w:tab w:val="clear" w:pos="708"/>
          <w:tab w:val="left" w:pos="1250" w:leader="none"/>
        </w:tabs>
        <w:suppressAutoHyphens w:val="true"/>
        <w:overflowPunct w:val="true"/>
        <w:bidi w:val="0"/>
        <w:ind w:left="0" w:right="0" w:firstLine="794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Arial">
    <w:charset w:val="01"/>
    <w:family w:val="roman"/>
    <w:pitch w:val="default"/>
  </w:font>
  <w:font w:name="Courier New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1f23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3"/>
    <w:uiPriority w:val="99"/>
    <w:qFormat/>
    <w:rsid w:val="00941f2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Без интервала Знак"/>
    <w:link w:val="a5"/>
    <w:uiPriority w:val="1"/>
    <w:qFormat/>
    <w:locked/>
    <w:rsid w:val="00941f23"/>
    <w:rPr>
      <w:rFonts w:ascii="Calibri" w:hAnsi="Calibri" w:eastAsia="Times New Roman" w:cs="Times New Roman"/>
      <w:szCs w:val="20"/>
    </w:rPr>
  </w:style>
  <w:style w:type="character" w:styleId="Style16" w:customStyle="1">
    <w:name w:val="Текст выноски Знак"/>
    <w:basedOn w:val="DefaultParagraphFont"/>
    <w:link w:val="a8"/>
    <w:uiPriority w:val="99"/>
    <w:semiHidden/>
    <w:qFormat/>
    <w:rsid w:val="006a35a3"/>
    <w:rPr>
      <w:rFonts w:ascii="Tahoma" w:hAnsi="Tahoma" w:eastAsia="Times New Roman" w:cs="Tahoma"/>
      <w:sz w:val="16"/>
      <w:szCs w:val="16"/>
      <w:lang w:eastAsia="ru-RU"/>
    </w:rPr>
  </w:style>
  <w:style w:type="character" w:styleId="Style17">
    <w:name w:val="Выделение"/>
    <w:basedOn w:val="DefaultParagraphFont"/>
    <w:qFormat/>
    <w:rsid w:val="00420ab3"/>
    <w:rPr>
      <w:i/>
      <w:iCs/>
    </w:rPr>
  </w:style>
  <w:style w:type="character" w:styleId="Style18">
    <w:name w:val="Символ сноски"/>
    <w:qFormat/>
    <w:rPr>
      <w:vertAlign w:val="superscript"/>
    </w:rPr>
  </w:style>
  <w:style w:type="character" w:styleId="Style19">
    <w:name w:val="Привязка сноски"/>
    <w:rPr>
      <w:vertAlign w:val="superscript"/>
    </w:rPr>
  </w:style>
  <w:style w:type="character" w:styleId="Style20">
    <w:name w:val="Основной текст Знак"/>
    <w:qFormat/>
    <w:rPr>
      <w:spacing w:val="4"/>
      <w:sz w:val="23"/>
      <w:szCs w:val="23"/>
      <w:lang w:bidi="ar-SA"/>
    </w:rPr>
  </w:style>
  <w:style w:type="character" w:styleId="Style21">
    <w:name w:val="Цветовое выделение"/>
    <w:qFormat/>
    <w:rPr>
      <w:b/>
      <w:bCs w:val="false"/>
      <w:color w:val="26282F"/>
    </w:rPr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link w:val="a4"/>
    <w:uiPriority w:val="99"/>
    <w:unhideWhenUsed/>
    <w:rsid w:val="00941f2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NoSpacing">
    <w:name w:val="No Spacing"/>
    <w:link w:val="a6"/>
    <w:uiPriority w:val="1"/>
    <w:qFormat/>
    <w:rsid w:val="00941f23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0"/>
      <w:szCs w:val="20"/>
      <w:lang w:val="ru-RU" w:eastAsia="en-US" w:bidi="ar-SA"/>
    </w:rPr>
  </w:style>
  <w:style w:type="paragraph" w:styleId="Msonormalcxspmiddlecxspmiddle" w:customStyle="1">
    <w:name w:val="msonormalcxspmiddlecxspmiddle"/>
    <w:basedOn w:val="Normal"/>
    <w:qFormat/>
    <w:rsid w:val="00941f23"/>
    <w:pPr>
      <w:spacing w:beforeAutospacing="1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6a24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link w:val="a9"/>
    <w:uiPriority w:val="99"/>
    <w:semiHidden/>
    <w:unhideWhenUsed/>
    <w:qFormat/>
    <w:rsid w:val="006a35a3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uiPriority w:val="99"/>
    <w:qFormat/>
    <w:rsid w:val="00707584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Style29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</TotalTime>
  <Application>LibreOffice/6.4.7.2$Linux_X86_64 LibreOffice_project/72d9d5113b23a0ed474720f9d366fcde9a2744dd</Application>
  <Pages>2</Pages>
  <Words>448</Words>
  <Characters>3268</Characters>
  <CharactersWithSpaces>3696</CharactersWithSpaces>
  <Paragraphs>27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2018-09-05T11:04:00Z</dcterms:created>
  <dc:creator>Белый МВ</dc:creator>
  <dc:description/>
  <dc:language>ru-RU</dc:language>
  <cp:lastModifiedBy/>
  <cp:lastPrinted>2018-07-31T06:13:00Z</cp:lastPrinted>
  <dcterms:modified xsi:type="dcterms:W3CDTF">2023-01-10T08:39:16Z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